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Křenová 394/70 byt č. 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ab/>
        <w:t>Trnitá</w:t>
      </w:r>
      <w:r>
        <w:tab/>
      </w:r>
      <w:r>
        <w:tab/>
      </w:r>
      <w:r>
        <w:tab/>
        <w:t xml:space="preserve">       </w:t>
      </w:r>
      <w:r>
        <w:tab/>
      </w:r>
      <w:r>
        <w:tab/>
      </w:r>
      <w:r>
        <w:rPr>
          <w:b/>
          <w:sz w:val="22"/>
          <w:szCs w:val="22"/>
        </w:rPr>
        <w:t>Parcelní číslo:</w:t>
      </w:r>
      <w:r>
        <w:t xml:space="preserve"> 264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3+1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132m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900 000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  <w:rPr>
          <w:highlight w:val="yellow"/>
        </w:rPr>
      </w:pPr>
      <w:r>
        <w:rPr>
          <w:highlight w:val="yellow"/>
        </w:rP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Vestavěné skříně repasovat.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Původní funkční okna do společné chodby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oprava nátěrů, tmelení, oprava fasády, zasíťovat proti ptactvu.</w:t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6F97F-4CA4-4C93-84F8-75E45F71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1678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4</cp:revision>
  <cp:lastPrinted>2016-12-15T07:03:00Z</cp:lastPrinted>
  <dcterms:created xsi:type="dcterms:W3CDTF">2020-12-10T09:39:00Z</dcterms:created>
  <dcterms:modified xsi:type="dcterms:W3CDTF">2020-12-10T15:46:00Z</dcterms:modified>
</cp:coreProperties>
</file>